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clear" w:color="auto" w:fill="FFFFFF"/>
        <w:spacing w:line="580" w:lineRule="exact"/>
        <w:jc w:val="left"/>
        <w:outlineLvl w:val="1"/>
        <w:rPr>
          <w:rFonts w:hint="eastAsia" w:ascii="仿宋_GB2312" w:hAnsi="华文中宋" w:cs="Arial"/>
          <w:bCs/>
          <w:color w:val="000000"/>
          <w:kern w:val="0"/>
          <w:szCs w:val="44"/>
        </w:rPr>
      </w:pPr>
      <w:r>
        <w:rPr>
          <w:rFonts w:hint="eastAsia" w:ascii="仿宋_GB2312" w:hAnsi="华文中宋" w:cs="Arial"/>
          <w:bCs/>
          <w:color w:val="000000"/>
          <w:kern w:val="0"/>
          <w:szCs w:val="44"/>
        </w:rPr>
        <w:t>附件：</w:t>
      </w:r>
    </w:p>
    <w:p>
      <w:pPr>
        <w:shd w:val="clear" w:color="auto" w:fill="FFFFFF"/>
        <w:spacing w:line="580" w:lineRule="exact"/>
        <w:jc w:val="left"/>
        <w:outlineLvl w:val="1"/>
        <w:rPr>
          <w:rFonts w:hint="eastAsia" w:ascii="仿宋_GB2312" w:hAnsi="华文中宋" w:cs="Arial"/>
          <w:bCs/>
          <w:color w:val="000000"/>
          <w:kern w:val="0"/>
          <w:szCs w:val="44"/>
        </w:rPr>
      </w:pPr>
    </w:p>
    <w:p>
      <w:pPr>
        <w:shd w:val="clear" w:color="auto" w:fill="FFFFFF"/>
        <w:spacing w:line="580" w:lineRule="exact"/>
        <w:jc w:val="center"/>
        <w:outlineLvl w:val="1"/>
        <w:rPr>
          <w:rFonts w:hint="eastAsia" w:ascii="仿宋_GB2312" w:hAnsi="华文中宋" w:cs="Arial"/>
          <w:bCs/>
          <w:color w:val="000000"/>
          <w:kern w:val="0"/>
          <w:szCs w:val="44"/>
        </w:rPr>
      </w:pPr>
      <w:bookmarkStart w:id="0" w:name="_GoBack"/>
      <w:r>
        <w:rPr>
          <w:rFonts w:hint="eastAsia" w:ascii="仿宋_GB2312" w:hAnsi="华文中宋" w:cs="Arial"/>
          <w:bCs/>
          <w:color w:val="000000"/>
          <w:kern w:val="0"/>
          <w:szCs w:val="44"/>
        </w:rPr>
        <w:t>港澳及华侨学生奖学金管理办法</w:t>
      </w:r>
    </w:p>
    <w:bookmarkEnd w:id="0"/>
    <w:p>
      <w:pPr>
        <w:shd w:val="clear" w:color="auto" w:fill="FFFFFF"/>
        <w:spacing w:line="580" w:lineRule="exact"/>
        <w:ind w:firstLine="635" w:firstLineChars="200"/>
        <w:rPr>
          <w:rFonts w:hint="eastAsia" w:ascii="仿宋_GB2312" w:hAnsi="Arial" w:cs="Arial"/>
          <w:b/>
          <w:bCs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第一章 总 则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第一条  为鼓励港澳及华侨学生来内地普通高校和科研院所就读，增强他们的祖国观念，激励他们勤奋学习、积极进取，特设立港澳及华侨学生奖学金。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第二条  港澳及华侨学生奖学金资金来源于中央财政，面向在内地普通高校和科研院所就读的全日制港澳本专科学生、硕士和博士研究生及华侨本专科学生。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第二章 申请条件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第三条  港澳及华侨学生奖学金申请的基本条件：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 xml:space="preserve">1.热爱祖国，拥护“一国两制”方针； 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2.自觉遵守国家法律、法规，遵守学校各项规章制度；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3.诚实守信，有良好的道德修养；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4.入学考试成绩优秀或在校期间勤奋刻苦、成绩优良。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第三章 奖学金类别、等级、名额及奖励标准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第四条  奖学金的类别、等级、名额及奖励标准：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1.本专科学生奖学金，分四个等级，其中，特等奖190人，每生每学年8000元；一等奖1000名，每生每学年6000元；二等奖1600名，每生每学年5000元；三等奖2700名，每生每学年4000元。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2.硕士研究生奖学金，分四个等级，其中，特等奖40人，每生每学年20000元；一等奖50名，每生每学年10000元；二等奖120名，每生每学年7000元；三等奖260名，每生每学年5000元。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3.博士研究生奖学金，分四个等级，其中，特等奖20人，每生每学年30000元；一等奖30名，每生每学年15000元；二等奖60名，每生每学年10000元；三等奖100名，每生每学年7000元。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中央将根据情况变化，适时调整奖学金等级、名额和奖励标准。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ind w:firstLine="632" w:firstLineChars="200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第四章 奖学金的申请、评审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第五条  港澳及华侨在校生奖学金按学年申请和评审，每年10月开始受理申请，当年12月10日前评审完毕。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港澳及华侨学生根据奖学金申请条件，按学年向所在学校或科研院所提出申请，提交《港澳及华侨学生奖学金申请表》(见附表)。奖学金每学年评选一次，符合条件的学生可连续申请。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第六条  港澳及华侨在校生奖学金评审程序：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1.每年9月开学后，各招生单位应及时更新港澳及华侨学生学籍信息。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2.教育部根据各招生单位全日制港澳及华侨学生在读人数等有关数据，经商财政部同意后于每年9月30日前按隶属关系向各有关中央主管部门和省(自治区、直辖市)教育厅(教委)下达奖学金名额。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3.各有关中央主管部门和省(自治区、直辖市)教育厅(教委)按照教育部下达的奖学金名额，确定并下达所属各有关单位的奖学金名额。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4.各有关招生单位根据上级主管部门下达的奖学金名额，受理港澳及华侨学生的申请材料，按照公开、公平、公正的原则组织等额评审，确定初审合格学生名单并公示。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5.公示结束后，各有关招生单位于每年11月10日前将建议获奖学生名单按照隶属关系经主管部门初审后报教育部。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第七条  奖学金的组织申请评审及审批等管理工作由教育部归口管理。教育部对有关主管部门报来的获奖学生名单进行审批，并将审批通过名单下发各有关单位。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第五章 奖学金的发放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第八条  财政部按照部门预算管理规定，下达教育部年度奖学金经费预算。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第九条  教育部按程序将资金拨付给有关招生单位。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第十条  各有关招生单位应当按照审批通过的获奖学生名单，于每年12月31日前将奖学金一次性发放给获奖学生。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第六章 监督检查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第十一条  各有关招生单位必须以高度的政治责任感做好奖学金管理工作，严格执行国家有关财经法规和本办法规定，加强资金管理，确保奖学金全部用于符合条件的港澳及华侨学生。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第十二条  各有关中央主管部门和省(自治区、直辖市)教育厅(教委)应当对奖学金使用情况进行监督检查，确保奖学金按时发放到位。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第十三条  奖学金资金管理接受审计、教育、财政等部门的监督检查，一旦发现截留、挤占和挪用等违法违纪行为，依照有关法律法规的规定追究相应责任。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第十四条  各级财政、教育部门及其工作人员在资金审核、分配等审批工作中，存在违反规定分配资金、向不符合条件的单位（或个人）分配资金、擅自超出规定的范围或标准分配资金，以及其他滥用职权、玩忽职守、徇私舞弊等违法违纪行为的，按照《中华人民共和国预算法》、《中华人民共和国公务员法》、《中华人民共和国行政监察法》、《财政违法行为处罚处分条例》等国家有关规定追究相应责任；涉嫌犯罪的，移送司法机关处理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第十五条  对于获奖学生，招生单位应继续加强管理，如出现以下情况之一的，应取消其获奖资格并及时向上级主管部门报告：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 xml:space="preserve">1. 有反对“一国两制”的言论或行为； 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2.触犯国家法律、法规，参加非法社团组织；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3.违反校规、校纪。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第七章 附 则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第十六条 本办法由财政部、教育部负责解释。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第十七条 本办法自印发之日起施行。原《港澳及华侨学生奖学金管理暂行办法》（财教〔2006〕129号）同时废止。</w:t>
      </w:r>
      <w:r>
        <w:rPr>
          <w:rFonts w:hint="eastAsia" w:ascii="仿宋_GB2312" w:hAnsi="Arial" w:cs="Arial"/>
          <w:color w:val="000000"/>
          <w:kern w:val="0"/>
          <w:szCs w:val="32"/>
          <w:vertAlign w:val="superscript"/>
        </w:rPr>
        <w:t xml:space="preserve"> 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附表：港澳及华侨学生奖学金申请表</w:t>
      </w:r>
    </w:p>
    <w:p>
      <w:pPr>
        <w:shd w:val="clear" w:color="auto" w:fill="FFFFFF"/>
        <w:spacing w:line="580" w:lineRule="exact"/>
        <w:ind w:firstLine="632" w:firstLineChars="200"/>
        <w:rPr>
          <w:rFonts w:ascii="仿宋_GB2312" w:hAnsi="Arial" w:cs="Arial"/>
          <w:color w:val="000000"/>
          <w:kern w:val="0"/>
          <w:szCs w:val="32"/>
        </w:rPr>
      </w:pPr>
    </w:p>
    <w:p>
      <w:pPr>
        <w:pageBreakBefore/>
        <w:shd w:val="clear" w:color="auto" w:fill="FFFFFF"/>
        <w:spacing w:line="580" w:lineRule="exact"/>
        <w:jc w:val="left"/>
        <w:rPr>
          <w:rFonts w:ascii="黑体" w:hAnsi="黑体" w:eastAsia="黑体" w:cs="Arial"/>
          <w:color w:val="000000"/>
          <w:kern w:val="0"/>
          <w:sz w:val="28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 w:val="28"/>
          <w:szCs w:val="32"/>
        </w:rPr>
        <w:t>附表：</w:t>
      </w:r>
    </w:p>
    <w:p>
      <w:pPr>
        <w:shd w:val="clear" w:color="auto" w:fill="FFFFFF"/>
        <w:spacing w:line="580" w:lineRule="exact"/>
        <w:jc w:val="center"/>
        <w:rPr>
          <w:rFonts w:ascii="黑体" w:hAnsi="黑体" w:eastAsia="黑体" w:cs="Arial"/>
          <w:color w:val="000000"/>
          <w:kern w:val="0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Cs w:val="32"/>
        </w:rPr>
        <w:t>港澳及华侨学生奖学金申请表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002"/>
        <w:gridCol w:w="1432"/>
        <w:gridCol w:w="860"/>
        <w:gridCol w:w="1002"/>
        <w:gridCol w:w="1433"/>
        <w:gridCol w:w="2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51" w:hRule="atLeast"/>
        </w:trPr>
        <w:tc>
          <w:tcPr>
            <w:tcW w:w="539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本人情况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姓名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性别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出生年月</w:t>
            </w:r>
          </w:p>
        </w:tc>
        <w:tc>
          <w:tcPr>
            <w:tcW w:w="234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39" w:hRule="atLeast"/>
        </w:trPr>
        <w:tc>
          <w:tcPr>
            <w:tcW w:w="539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学号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入学时间</w:t>
            </w:r>
          </w:p>
        </w:tc>
        <w:tc>
          <w:tcPr>
            <w:tcW w:w="234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22" w:hRule="atLeast"/>
        </w:trPr>
        <w:tc>
          <w:tcPr>
            <w:tcW w:w="539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8073" w:type="dxa"/>
            <w:gridSpan w:val="6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大学            学院             系             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365" w:hRule="atLeast"/>
        </w:trPr>
        <w:tc>
          <w:tcPr>
            <w:tcW w:w="53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曾获奖励情况</w:t>
            </w:r>
          </w:p>
        </w:tc>
        <w:tc>
          <w:tcPr>
            <w:tcW w:w="8073" w:type="dxa"/>
            <w:gridSpan w:val="6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13" w:hRule="atLeast"/>
        </w:trPr>
        <w:tc>
          <w:tcPr>
            <w:tcW w:w="8612" w:type="dxa"/>
            <w:gridSpan w:val="7"/>
            <w:noWrap w:val="0"/>
            <w:vAlign w:val="center"/>
          </w:tcPr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申请理由：</w:t>
            </w: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ind w:firstLine="1236" w:firstLineChars="600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申请人签名：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272" w:hRule="atLeast"/>
        </w:trPr>
        <w:tc>
          <w:tcPr>
            <w:tcW w:w="8612" w:type="dxa"/>
            <w:gridSpan w:val="7"/>
            <w:noWrap w:val="0"/>
            <w:vAlign w:val="center"/>
          </w:tcPr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学校审核意见：</w:t>
            </w: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ind w:firstLine="2060" w:firstLineChars="1000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（公章）                              年      月     日</w:t>
            </w:r>
          </w:p>
        </w:tc>
      </w:tr>
    </w:tbl>
    <w:p>
      <w:pPr>
        <w:spacing w:line="40" w:lineRule="exact"/>
        <w:ind w:right="284"/>
        <w:jc w:val="left"/>
        <w:rPr>
          <w:sz w:val="4"/>
          <w:szCs w:val="4"/>
        </w:rPr>
      </w:pPr>
    </w:p>
    <w:sectPr>
      <w:footerReference r:id="rId5" w:type="default"/>
      <w:footerReference r:id="rId6" w:type="even"/>
      <w:pgSz w:w="11906" w:h="16838"/>
      <w:pgMar w:top="1644" w:right="1480" w:bottom="1984" w:left="1480" w:header="851" w:footer="907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2055" w:wrap="around" w:vAnchor="text" w:hAnchor="page" w:x="8321" w:y="-310"/>
      <w:spacing w:line="0" w:lineRule="atLeast"/>
      <w:ind w:right="345"/>
      <w:jc w:val="right"/>
      <w:rPr>
        <w:rStyle w:val="9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rPr>
        <w:sz w:val="28"/>
      </w:rPr>
      <w:fldChar w:fldCharType="begin"/>
    </w:r>
    <w:r>
      <w:rPr>
        <w:rStyle w:val="9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9"/>
        <w:sz w:val="28"/>
        <w:lang/>
      </w:rPr>
      <w:t>1</w:t>
    </w:r>
    <w:r>
      <w:rPr>
        <w:sz w:val="28"/>
      </w:rPr>
      <w:fldChar w:fldCharType="end"/>
    </w:r>
    <w:r>
      <w:rPr>
        <w:rStyle w:val="9"/>
        <w:rFonts w:hint="eastAsia"/>
        <w:sz w:val="28"/>
      </w:rPr>
      <w:t xml:space="preserve"> </w:t>
    </w:r>
    <w:r>
      <w:rPr>
        <w:rStyle w:val="9"/>
        <w:rFonts w:hint="eastAsia" w:ascii="仿宋_GB2312"/>
        <w:sz w:val="28"/>
      </w:rPr>
      <w:t>—</w:t>
    </w:r>
  </w:p>
  <w:p>
    <w:pPr>
      <w:pStyle w:val="4"/>
      <w:tabs>
        <w:tab w:val="clear" w:pos="8306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596" w:wrap="around" w:vAnchor="text" w:hAnchor="page" w:x="1823" w:y="-310"/>
      <w:spacing w:line="240" w:lineRule="auto"/>
      <w:jc w:val="both"/>
      <w:rPr>
        <w:rStyle w:val="9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rPr>
        <w:sz w:val="28"/>
      </w:rPr>
      <w:fldChar w:fldCharType="begin"/>
    </w:r>
    <w:r>
      <w:rPr>
        <w:rStyle w:val="9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9"/>
        <w:sz w:val="28"/>
      </w:rPr>
      <w:t>2</w:t>
    </w:r>
    <w:r>
      <w:rPr>
        <w:sz w:val="28"/>
      </w:rPr>
      <w:fldChar w:fldCharType="end"/>
    </w:r>
    <w:r>
      <w:rPr>
        <w:rStyle w:val="9"/>
        <w:rFonts w:hint="eastAsia"/>
        <w:sz w:val="28"/>
      </w:rPr>
      <w:t xml:space="preserve"> </w:t>
    </w:r>
    <w:r>
      <w:rPr>
        <w:rStyle w:val="9"/>
        <w:rFonts w:hint="eastAsia" w:ascii="仿宋_GB2312"/>
        <w:sz w:val="28"/>
      </w:rPr>
      <w:t>—</w:t>
    </w:r>
  </w:p>
  <w:p>
    <w:pPr>
      <w:pStyle w:val="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